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7A" w:rsidRDefault="00CE1D9F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3705225</wp:posOffset>
            </wp:positionH>
            <wp:positionV relativeFrom="margin">
              <wp:posOffset>3175</wp:posOffset>
            </wp:positionV>
            <wp:extent cx="480060" cy="567055"/>
            <wp:effectExtent l="0" t="0" r="0" b="4445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48006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B7A7A" w:rsidRDefault="003B7A7A">
      <w:pPr>
        <w:spacing w:after="532" w:line="1" w:lineRule="exact"/>
      </w:pPr>
    </w:p>
    <w:p w:rsidR="003B7A7A" w:rsidRDefault="003B7A7A">
      <w:pPr>
        <w:spacing w:line="1" w:lineRule="exact"/>
        <w:sectPr w:rsidR="003B7A7A">
          <w:pgSz w:w="11900" w:h="16840"/>
          <w:pgMar w:top="1165" w:right="632" w:bottom="2958" w:left="2145" w:header="737" w:footer="2530" w:gutter="0"/>
          <w:pgNumType w:start="1"/>
          <w:cols w:space="720"/>
          <w:noEndnote/>
          <w:docGrid w:linePitch="360"/>
        </w:sectPr>
      </w:pPr>
    </w:p>
    <w:p w:rsidR="003B7A7A" w:rsidRPr="00CE1D9F" w:rsidRDefault="00CE1D9F">
      <w:pPr>
        <w:pStyle w:val="10"/>
        <w:keepNext/>
        <w:keepLines/>
        <w:shd w:val="clear" w:color="auto" w:fill="auto"/>
        <w:rPr>
          <w:b/>
        </w:rPr>
      </w:pPr>
      <w:bookmarkStart w:id="0" w:name="bookmark0"/>
      <w:bookmarkStart w:id="1" w:name="bookmark1"/>
      <w:r w:rsidRPr="00CE1D9F">
        <w:rPr>
          <w:b/>
        </w:rPr>
        <w:t>Администрации Шатковского муниципального района</w:t>
      </w:r>
      <w:r w:rsidRPr="00CE1D9F">
        <w:rPr>
          <w:b/>
        </w:rPr>
        <w:br/>
        <w:t>Нижегородской области</w:t>
      </w:r>
      <w:r w:rsidRPr="00CE1D9F">
        <w:rPr>
          <w:b/>
        </w:rPr>
        <w:br/>
        <w:t>ПОСТАНОВЛЕНИЕ</w:t>
      </w:r>
      <w:bookmarkEnd w:id="0"/>
      <w:bookmarkEnd w:id="1"/>
    </w:p>
    <w:p w:rsidR="003B7A7A" w:rsidRDefault="00CE1D9F">
      <w:pPr>
        <w:spacing w:line="1" w:lineRule="exact"/>
        <w:sectPr w:rsidR="003B7A7A">
          <w:type w:val="continuous"/>
          <w:pgSz w:w="11900" w:h="16840"/>
          <w:pgMar w:top="1165" w:right="632" w:bottom="2958" w:left="2145" w:header="0" w:footer="3" w:gutter="0"/>
          <w:cols w:space="720"/>
          <w:noEndnote/>
          <w:docGrid w:linePitch="360"/>
        </w:sectPr>
      </w:pPr>
      <w:r w:rsidRPr="00CE1D9F">
        <w:rPr>
          <w:noProof/>
          <w:color w:val="auto"/>
          <w:lang w:bidi="ar-SA"/>
        </w:rPr>
        <w:drawing>
          <wp:anchor distT="127000" distB="0" distL="0" distR="0" simplePos="0" relativeHeight="125829378" behindDoc="0" locked="0" layoutInCell="1" allowOverlap="1">
            <wp:simplePos x="0" y="0"/>
            <wp:positionH relativeFrom="page">
              <wp:posOffset>2420620</wp:posOffset>
            </wp:positionH>
            <wp:positionV relativeFrom="paragraph">
              <wp:posOffset>127000</wp:posOffset>
            </wp:positionV>
            <wp:extent cx="1146175" cy="158750"/>
            <wp:effectExtent l="0" t="0" r="0" b="0"/>
            <wp:wrapTopAndBottom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146175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A7A" w:rsidRDefault="003B7A7A">
      <w:pPr>
        <w:spacing w:line="198" w:lineRule="exact"/>
        <w:rPr>
          <w:sz w:val="16"/>
          <w:szCs w:val="16"/>
        </w:rPr>
      </w:pPr>
    </w:p>
    <w:p w:rsidR="003B7A7A" w:rsidRDefault="003B7A7A">
      <w:pPr>
        <w:spacing w:line="1" w:lineRule="exact"/>
        <w:sectPr w:rsidR="003B7A7A">
          <w:type w:val="continuous"/>
          <w:pgSz w:w="11900" w:h="16840"/>
          <w:pgMar w:top="1268" w:right="0" w:bottom="1022" w:left="0" w:header="0" w:footer="3" w:gutter="0"/>
          <w:cols w:space="720"/>
          <w:noEndnote/>
          <w:docGrid w:linePitch="360"/>
        </w:sectPr>
      </w:pPr>
    </w:p>
    <w:p w:rsidR="003B7A7A" w:rsidRPr="00CE1D9F" w:rsidRDefault="00CE1D9F">
      <w:pPr>
        <w:pStyle w:val="20"/>
        <w:shd w:val="clear" w:color="auto" w:fill="auto"/>
        <w:spacing w:after="320" w:line="228" w:lineRule="auto"/>
        <w:jc w:val="center"/>
        <w:rPr>
          <w:b/>
          <w:sz w:val="24"/>
          <w:szCs w:val="24"/>
        </w:rPr>
      </w:pPr>
      <w:r w:rsidRPr="00CE1D9F">
        <w:rPr>
          <w:b/>
          <w:sz w:val="24"/>
          <w:szCs w:val="24"/>
        </w:rPr>
        <w:t>О закреплении муниципальных общеобразовательных</w:t>
      </w:r>
      <w:r w:rsidRPr="00CE1D9F">
        <w:rPr>
          <w:b/>
          <w:sz w:val="24"/>
          <w:szCs w:val="24"/>
        </w:rPr>
        <w:br/>
        <w:t xml:space="preserve">организации за конкретными территориями </w:t>
      </w:r>
      <w:r w:rsidRPr="00CE1D9F">
        <w:rPr>
          <w:b/>
          <w:sz w:val="24"/>
          <w:szCs w:val="24"/>
        </w:rPr>
        <w:t>Шатковского</w:t>
      </w:r>
      <w:r w:rsidRPr="00CE1D9F">
        <w:rPr>
          <w:b/>
          <w:sz w:val="24"/>
          <w:szCs w:val="24"/>
        </w:rPr>
        <w:br/>
        <w:t>муниципального района на 2021 год</w:t>
      </w:r>
    </w:p>
    <w:p w:rsidR="003B7A7A" w:rsidRDefault="00CE1D9F">
      <w:pPr>
        <w:pStyle w:val="20"/>
        <w:shd w:val="clear" w:color="auto" w:fill="auto"/>
        <w:ind w:firstLine="560"/>
        <w:jc w:val="both"/>
      </w:pPr>
      <w:r>
        <w:t>В соответствии с п.п.6 п. 1 статьи 9 Федерального закона от 29.12.2012 № 273-ФЗ «Об образовании в Российской Федерации», приказом Министерства просвещения Российской Федерации от 02.09.2020 № 458 «Об утверждени</w:t>
      </w:r>
      <w:r>
        <w:t>и Порядка приема на обучение по образовательным программам начального общего, основного общего и среднего общего образования», в целях учета детей, подлежащих обучению по образовательным программам дошкольного, начального общего, основного общего и среднег</w:t>
      </w:r>
      <w:r>
        <w:t>о общего образования, приёма граждан для обучения по общеобразовательным программам, обеспечения территориальной доступности образовательных организаций, администрация Шатковского муниципального района Нижегородской области постановляет:</w:t>
      </w:r>
    </w:p>
    <w:p w:rsidR="003B7A7A" w:rsidRDefault="00CE1D9F">
      <w:pPr>
        <w:pStyle w:val="20"/>
        <w:shd w:val="clear" w:color="auto" w:fill="auto"/>
        <w:jc w:val="both"/>
      </w:pPr>
      <w:r>
        <w:t>1. Закрепить муниц</w:t>
      </w:r>
      <w:r>
        <w:t>ипальные общеобразовательные организации за конкретными территориями Шатковскол. муниципального района на 2021 год согласно приложению.</w:t>
      </w:r>
    </w:p>
    <w:p w:rsidR="003B7A7A" w:rsidRDefault="00CE1D9F">
      <w:pPr>
        <w:pStyle w:val="20"/>
        <w:shd w:val="clear" w:color="auto" w:fill="auto"/>
        <w:jc w:val="both"/>
      </w:pPr>
      <w:r>
        <w:t>2 Опубликовать настоите постановление в общественно-политической газете «Новый путь» и разместить на официальном сайте а</w:t>
      </w:r>
      <w:r>
        <w:t>дминистрации Шатковского муниципального района Нижегородской области в информационно-телекоммуникационной сети «Интернет».</w:t>
      </w:r>
    </w:p>
    <w:p w:rsidR="003B7A7A" w:rsidRDefault="00CE1D9F">
      <w:pPr>
        <w:pStyle w:val="20"/>
        <w:shd w:val="clear" w:color="auto" w:fill="auto"/>
        <w:spacing w:after="400"/>
        <w:jc w:val="both"/>
      </w:pPr>
      <w:r>
        <w:rPr>
          <w:noProof/>
          <w:lang w:bidi="ar-SA"/>
        </w:rPr>
        <w:drawing>
          <wp:anchor distT="0" distB="0" distL="114300" distR="1282700" simplePos="0" relativeHeight="125829379" behindDoc="0" locked="0" layoutInCell="1" allowOverlap="1">
            <wp:simplePos x="0" y="0"/>
            <wp:positionH relativeFrom="page">
              <wp:posOffset>5225415</wp:posOffset>
            </wp:positionH>
            <wp:positionV relativeFrom="paragraph">
              <wp:posOffset>660400</wp:posOffset>
            </wp:positionV>
            <wp:extent cx="725170" cy="652145"/>
            <wp:effectExtent l="0" t="0" r="0" b="0"/>
            <wp:wrapSquare wrapText="lef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2517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6137275</wp:posOffset>
                </wp:positionH>
                <wp:positionV relativeFrom="paragraph">
                  <wp:posOffset>1017270</wp:posOffset>
                </wp:positionV>
                <wp:extent cx="978535" cy="187325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3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7A7A" w:rsidRDefault="00CE1D9F">
                            <w:pPr>
                              <w:pStyle w:val="a4"/>
                              <w:shd w:val="clear" w:color="auto" w:fill="auto"/>
                            </w:pPr>
                            <w:r>
                              <w:t>М. Н. Межевов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483.25pt;margin-top:80.099999999999994pt;width:77.049999999999997pt;height:14.75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М. Н. Межевов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3. Контроль за исполнением настоящего постановления возложить на заместителя главы администрации Шатковского муници</w:t>
      </w:r>
      <w:r>
        <w:t>пального района В. В. Ярилина.</w:t>
      </w:r>
    </w:p>
    <w:p w:rsidR="003B7A7A" w:rsidRDefault="00CE1D9F">
      <w:pPr>
        <w:pStyle w:val="20"/>
        <w:shd w:val="clear" w:color="auto" w:fill="auto"/>
        <w:spacing w:after="140" w:line="240" w:lineRule="auto"/>
        <w:jc w:val="both"/>
      </w:pPr>
      <w:r>
        <w:t>Глава местного самоуправления</w:t>
      </w:r>
    </w:p>
    <w:p w:rsidR="003B7A7A" w:rsidRDefault="00CE1D9F">
      <w:pPr>
        <w:pStyle w:val="20"/>
        <w:shd w:val="clear" w:color="auto" w:fill="auto"/>
        <w:spacing w:after="220" w:line="240" w:lineRule="auto"/>
        <w:jc w:val="both"/>
      </w:pPr>
      <w:r>
        <w:t>Шатковского муниципального района</w:t>
      </w:r>
    </w:p>
    <w:p w:rsidR="00CE1D9F" w:rsidRDefault="00CE1D9F">
      <w:pPr>
        <w:pStyle w:val="11"/>
        <w:shd w:val="clear" w:color="auto" w:fill="auto"/>
        <w:tabs>
          <w:tab w:val="left" w:pos="7792"/>
          <w:tab w:val="left" w:pos="8253"/>
        </w:tabs>
        <w:spacing w:after="460"/>
        <w:ind w:left="4660"/>
        <w:jc w:val="right"/>
      </w:pPr>
    </w:p>
    <w:p w:rsidR="00CE1D9F" w:rsidRDefault="00CE1D9F">
      <w:pPr>
        <w:pStyle w:val="11"/>
        <w:shd w:val="clear" w:color="auto" w:fill="auto"/>
        <w:tabs>
          <w:tab w:val="left" w:pos="7792"/>
          <w:tab w:val="left" w:pos="8253"/>
        </w:tabs>
        <w:spacing w:after="460"/>
        <w:ind w:left="4660"/>
        <w:jc w:val="right"/>
      </w:pPr>
    </w:p>
    <w:p w:rsidR="00CE1D9F" w:rsidRDefault="00CE1D9F" w:rsidP="00CE1D9F">
      <w:pPr>
        <w:pStyle w:val="11"/>
        <w:shd w:val="clear" w:color="auto" w:fill="auto"/>
        <w:tabs>
          <w:tab w:val="left" w:pos="7792"/>
          <w:tab w:val="left" w:pos="8253"/>
        </w:tabs>
        <w:ind w:left="4660"/>
        <w:jc w:val="right"/>
      </w:pPr>
      <w:r>
        <w:lastRenderedPageBreak/>
        <w:t xml:space="preserve">Приложение к постановлению администрации Шатковского муниципального района Нижегородской области </w:t>
      </w:r>
    </w:p>
    <w:p w:rsidR="003B7A7A" w:rsidRDefault="00CE1D9F" w:rsidP="00CE1D9F">
      <w:pPr>
        <w:pStyle w:val="11"/>
        <w:shd w:val="clear" w:color="auto" w:fill="auto"/>
        <w:tabs>
          <w:tab w:val="left" w:pos="7792"/>
          <w:tab w:val="left" w:pos="8253"/>
        </w:tabs>
        <w:ind w:left="4660"/>
        <w:jc w:val="right"/>
      </w:pPr>
      <w:r>
        <w:t>от 28. 01. 2021 № 54</w:t>
      </w:r>
    </w:p>
    <w:p w:rsidR="00CE1D9F" w:rsidRDefault="00CE1D9F" w:rsidP="00CE1D9F">
      <w:pPr>
        <w:pStyle w:val="11"/>
        <w:shd w:val="clear" w:color="auto" w:fill="auto"/>
        <w:tabs>
          <w:tab w:val="left" w:pos="7792"/>
          <w:tab w:val="left" w:pos="8253"/>
        </w:tabs>
        <w:ind w:left="4660"/>
        <w:jc w:val="right"/>
      </w:pPr>
    </w:p>
    <w:p w:rsidR="00CE1D9F" w:rsidRDefault="00CE1D9F" w:rsidP="00CE1D9F">
      <w:pPr>
        <w:pStyle w:val="11"/>
        <w:shd w:val="clear" w:color="auto" w:fill="auto"/>
        <w:tabs>
          <w:tab w:val="left" w:pos="7792"/>
          <w:tab w:val="left" w:pos="8253"/>
        </w:tabs>
        <w:ind w:left="4660"/>
        <w:jc w:val="right"/>
      </w:pPr>
    </w:p>
    <w:p w:rsidR="003B7A7A" w:rsidRDefault="00CE1D9F">
      <w:pPr>
        <w:pStyle w:val="11"/>
        <w:shd w:val="clear" w:color="auto" w:fill="auto"/>
        <w:spacing w:after="460"/>
        <w:jc w:val="center"/>
      </w:pPr>
      <w:r>
        <w:rPr>
          <w:b/>
          <w:bCs/>
        </w:rPr>
        <w:t xml:space="preserve">Муниципальные общеобразовательные организации, </w:t>
      </w:r>
      <w:r>
        <w:rPr>
          <w:b/>
          <w:bCs/>
        </w:rPr>
        <w:t>закрепляемые за</w:t>
      </w:r>
      <w:r>
        <w:rPr>
          <w:b/>
          <w:bCs/>
        </w:rPr>
        <w:br/>
        <w:t>конкретными территориями Шатковского муниципального района</w:t>
      </w:r>
      <w:r>
        <w:rPr>
          <w:b/>
          <w:bCs/>
        </w:rPr>
        <w:br/>
        <w:t>на 2021 год</w:t>
      </w:r>
    </w:p>
    <w:p w:rsidR="003B7A7A" w:rsidRDefault="00CE1D9F">
      <w:pPr>
        <w:pStyle w:val="11"/>
        <w:numPr>
          <w:ilvl w:val="0"/>
          <w:numId w:val="1"/>
        </w:numPr>
        <w:shd w:val="clear" w:color="auto" w:fill="auto"/>
        <w:tabs>
          <w:tab w:val="left" w:pos="277"/>
        </w:tabs>
      </w:pPr>
      <w:r>
        <w:t>МОУ «Шатковская СШ»:</w:t>
      </w:r>
    </w:p>
    <w:p w:rsidR="003B7A7A" w:rsidRDefault="00CE1D9F">
      <w:pPr>
        <w:pStyle w:val="11"/>
        <w:shd w:val="clear" w:color="auto" w:fill="auto"/>
        <w:ind w:firstLine="380"/>
        <w:jc w:val="both"/>
      </w:pPr>
      <w:r>
        <w:t xml:space="preserve">- р.п. Шатки (ул. Кирова, ул. Тани Савичевой, ул. Калинина, ул. Комсомольская, ул Песочная, ул. Гагарина, ул. Восточная, ул. Южная, ул. Лесная, ул. </w:t>
      </w:r>
      <w:r>
        <w:t>Леш на, ул. Станционная (д. 1-105), ул. Центральная, ул. Нолевая, ул. Дорожная, ул. Железнодорожная, ул. Северная, ул. Солнечная, 11роспект строителей, ул. Зелёная, ул. Молодёжная, ул. Новая, ул.Новосёлов, ул. Юбилейная, ул. Ясная,ул. Цветочная, ул. им.И.И</w:t>
      </w:r>
      <w:r>
        <w:t>.Чугунова, ул. Раздольная, ул. Анатолия Паршина, ул. Сергея Рыльцына, ул. Победы, ул. Школьная, ул. Сергея Любушкина,ул. Свободы, ул. Парковая, ул. Радужная, ул. Овражная, ул. Советская, ул. Береговая, ул. Суходольная, ул. Федеративная, ул. 1 Мая (чётная с</w:t>
      </w:r>
      <w:r>
        <w:t>торона д.58-168, нечётная сторона д.71-137), ул. Коммунальная, Садовый переулок, ул. 40 лет Октября, Рабочий переулок, ул. Пушкина, 1-й Микрорайон, ул. Офицерская, ул. Заводская, ул. Мира, ул. 9 Мая, ул. Учительская, ул. Забайкальская, ул. Заречная);</w:t>
      </w:r>
    </w:p>
    <w:p w:rsidR="003B7A7A" w:rsidRDefault="00CE1D9F">
      <w:pPr>
        <w:pStyle w:val="11"/>
        <w:numPr>
          <w:ilvl w:val="0"/>
          <w:numId w:val="2"/>
        </w:numPr>
        <w:shd w:val="clear" w:color="auto" w:fill="auto"/>
        <w:tabs>
          <w:tab w:val="left" w:pos="238"/>
        </w:tabs>
        <w:jc w:val="both"/>
      </w:pPr>
      <w:r>
        <w:t>с. Ке</w:t>
      </w:r>
      <w:r>
        <w:t>ржемок, с. Быков Майдан, с. Мисюриха, с.п. Свободный Труд, д.‘Трянгуши, с.п. Александровский, с. Спасское, с.п. Покровка;</w:t>
      </w:r>
    </w:p>
    <w:p w:rsidR="003B7A7A" w:rsidRDefault="00CE1D9F">
      <w:pPr>
        <w:pStyle w:val="11"/>
        <w:numPr>
          <w:ilvl w:val="0"/>
          <w:numId w:val="2"/>
        </w:numPr>
        <w:shd w:val="clear" w:color="auto" w:fill="auto"/>
        <w:tabs>
          <w:tab w:val="left" w:pos="238"/>
        </w:tabs>
        <w:spacing w:after="320"/>
        <w:jc w:val="both"/>
      </w:pPr>
      <w:r>
        <w:t>территории, закреплённые за МОУ «Шатковская ОШ» и МОУ «Силинская ОШ» (при приёме граждан для обучения по образовательным программам ср</w:t>
      </w:r>
      <w:r>
        <w:t>еднего общего образования).</w:t>
      </w:r>
    </w:p>
    <w:p w:rsidR="003B7A7A" w:rsidRDefault="00CE1D9F">
      <w:pPr>
        <w:pStyle w:val="11"/>
        <w:numPr>
          <w:ilvl w:val="0"/>
          <w:numId w:val="1"/>
        </w:numPr>
        <w:shd w:val="clear" w:color="auto" w:fill="auto"/>
        <w:tabs>
          <w:tab w:val="left" w:pos="306"/>
        </w:tabs>
        <w:jc w:val="both"/>
      </w:pPr>
      <w:r>
        <w:t>МОУ «Шатковская ОШ»:</w:t>
      </w:r>
    </w:p>
    <w:p w:rsidR="003B7A7A" w:rsidRDefault="00CE1D9F">
      <w:pPr>
        <w:pStyle w:val="11"/>
        <w:numPr>
          <w:ilvl w:val="0"/>
          <w:numId w:val="2"/>
        </w:numPr>
        <w:shd w:val="clear" w:color="auto" w:fill="auto"/>
        <w:tabs>
          <w:tab w:val="left" w:pos="238"/>
        </w:tabs>
        <w:spacing w:after="320"/>
        <w:jc w:val="both"/>
      </w:pPr>
      <w:r>
        <w:t>р.п. Шатки (ул. Дружба, ул. Нечаевка, 3-й Микрорайон, ул. Луговая, ул. Околица, ул. Набережная, ул. Механизаторов, ул. 1 Мая (чётная сторона д.2-54, нечетная сторона д.3-69), ул. Станционная (д. 106-137)).</w:t>
      </w:r>
    </w:p>
    <w:p w:rsidR="003B7A7A" w:rsidRDefault="00CE1D9F">
      <w:pPr>
        <w:pStyle w:val="11"/>
        <w:numPr>
          <w:ilvl w:val="0"/>
          <w:numId w:val="1"/>
        </w:numPr>
        <w:shd w:val="clear" w:color="auto" w:fill="auto"/>
        <w:tabs>
          <w:tab w:val="left" w:pos="309"/>
        </w:tabs>
        <w:jc w:val="both"/>
      </w:pPr>
      <w:r>
        <w:t>МОУ «Лесогорская СШ»:</w:t>
      </w:r>
    </w:p>
    <w:p w:rsidR="003B7A7A" w:rsidRDefault="00CE1D9F">
      <w:pPr>
        <w:pStyle w:val="11"/>
        <w:numPr>
          <w:ilvl w:val="0"/>
          <w:numId w:val="2"/>
        </w:numPr>
        <w:shd w:val="clear" w:color="auto" w:fill="auto"/>
        <w:tabs>
          <w:tab w:val="left" w:pos="238"/>
        </w:tabs>
        <w:spacing w:after="320"/>
        <w:jc w:val="both"/>
      </w:pPr>
      <w:r>
        <w:t>р.п. Лесогорск, с. Ключищи, с.п. Лесозавод, с. Понетаевка, с.п. участка № 3 совхоза «Власть Советов», с. Кардавиль, с. Кирманы, д. Крутец, с. Корино, с.п. Чистое Поле, п. станции Лесогорск.</w:t>
      </w:r>
    </w:p>
    <w:p w:rsidR="003B7A7A" w:rsidRDefault="00CE1D9F">
      <w:pPr>
        <w:pStyle w:val="11"/>
        <w:numPr>
          <w:ilvl w:val="0"/>
          <w:numId w:val="1"/>
        </w:numPr>
        <w:shd w:val="clear" w:color="auto" w:fill="auto"/>
        <w:tabs>
          <w:tab w:val="left" w:pos="313"/>
        </w:tabs>
        <w:jc w:val="both"/>
      </w:pPr>
      <w:r>
        <w:t>МОУ «Архангельская СШ»:</w:t>
      </w:r>
    </w:p>
    <w:p w:rsidR="003B7A7A" w:rsidRDefault="00CE1D9F">
      <w:pPr>
        <w:pStyle w:val="11"/>
        <w:numPr>
          <w:ilvl w:val="0"/>
          <w:numId w:val="2"/>
        </w:numPr>
        <w:shd w:val="clear" w:color="auto" w:fill="auto"/>
        <w:tabs>
          <w:tab w:val="left" w:pos="238"/>
        </w:tabs>
        <w:jc w:val="both"/>
      </w:pPr>
      <w:r>
        <w:t>с. Архангельское.</w:t>
      </w:r>
    </w:p>
    <w:p w:rsidR="003B7A7A" w:rsidRDefault="00CE1D9F">
      <w:pPr>
        <w:pStyle w:val="11"/>
        <w:numPr>
          <w:ilvl w:val="0"/>
          <w:numId w:val="2"/>
        </w:numPr>
        <w:shd w:val="clear" w:color="auto" w:fill="auto"/>
        <w:tabs>
          <w:tab w:val="left" w:pos="238"/>
        </w:tabs>
        <w:jc w:val="both"/>
      </w:pPr>
      <w:r>
        <w:t>те</w:t>
      </w:r>
      <w:r>
        <w:t xml:space="preserve">рритория, закреплённая за МОУ «Светлогорская </w:t>
      </w:r>
      <w:r>
        <w:rPr>
          <w:lang w:val="en-US" w:eastAsia="en-US" w:bidi="en-US"/>
        </w:rPr>
        <w:t>OIJJ</w:t>
      </w:r>
      <w:r w:rsidRPr="00CE1D9F">
        <w:rPr>
          <w:lang w:eastAsia="en-US" w:bidi="en-US"/>
        </w:rPr>
        <w:t xml:space="preserve">» </w:t>
      </w:r>
      <w:r>
        <w:t>(при приёме граждан для обучен 1я ю образовательным программам среднего общего образования).</w:t>
      </w:r>
    </w:p>
    <w:p w:rsidR="00CE1D9F" w:rsidRDefault="00CE1D9F" w:rsidP="00CE1D9F">
      <w:pPr>
        <w:pStyle w:val="11"/>
        <w:shd w:val="clear" w:color="auto" w:fill="auto"/>
        <w:tabs>
          <w:tab w:val="left" w:pos="351"/>
        </w:tabs>
      </w:pPr>
    </w:p>
    <w:p w:rsidR="00CE1D9F" w:rsidRDefault="00CE1D9F" w:rsidP="00CE1D9F">
      <w:pPr>
        <w:pStyle w:val="11"/>
        <w:shd w:val="clear" w:color="auto" w:fill="auto"/>
        <w:tabs>
          <w:tab w:val="left" w:pos="351"/>
        </w:tabs>
      </w:pPr>
    </w:p>
    <w:p w:rsidR="003B7A7A" w:rsidRDefault="00CE1D9F">
      <w:pPr>
        <w:pStyle w:val="11"/>
        <w:numPr>
          <w:ilvl w:val="0"/>
          <w:numId w:val="1"/>
        </w:numPr>
        <w:shd w:val="clear" w:color="auto" w:fill="auto"/>
        <w:tabs>
          <w:tab w:val="left" w:pos="351"/>
        </w:tabs>
      </w:pPr>
      <w:r>
        <w:lastRenderedPageBreak/>
        <w:t>МОУ «Смирновская СШ»:</w:t>
      </w:r>
      <w:bookmarkStart w:id="2" w:name="_GoBack"/>
      <w:bookmarkEnd w:id="2"/>
    </w:p>
    <w:p w:rsidR="003B7A7A" w:rsidRDefault="00CE1D9F">
      <w:pPr>
        <w:pStyle w:val="11"/>
        <w:numPr>
          <w:ilvl w:val="0"/>
          <w:numId w:val="2"/>
        </w:numPr>
        <w:shd w:val="clear" w:color="auto" w:fill="auto"/>
        <w:tabs>
          <w:tab w:val="left" w:pos="271"/>
        </w:tabs>
        <w:jc w:val="both"/>
      </w:pPr>
      <w:r>
        <w:t>с. Смирнове, с. Костянка, с. Алемаево, с Неледино, с.п. Богдановка, с. Починки, с. Путятин</w:t>
      </w:r>
      <w:r>
        <w:t>о, с. Бритово, с.п. Калиновка.</w:t>
      </w:r>
    </w:p>
    <w:p w:rsidR="003B7A7A" w:rsidRDefault="00CE1D9F">
      <w:pPr>
        <w:pStyle w:val="11"/>
        <w:numPr>
          <w:ilvl w:val="0"/>
          <w:numId w:val="2"/>
        </w:numPr>
        <w:shd w:val="clear" w:color="auto" w:fill="auto"/>
        <w:tabs>
          <w:tab w:val="left" w:pos="271"/>
        </w:tabs>
        <w:spacing w:after="320"/>
        <w:jc w:val="both"/>
      </w:pPr>
      <w:r>
        <w:t>территория, закреплённая за МОУ «Великовражская ОШ» (при приёме граждан для обучения по образовательным программам среднего общего образования).</w:t>
      </w:r>
    </w:p>
    <w:p w:rsidR="003B7A7A" w:rsidRDefault="00CE1D9F">
      <w:pPr>
        <w:pStyle w:val="11"/>
        <w:numPr>
          <w:ilvl w:val="0"/>
          <w:numId w:val="1"/>
        </w:numPr>
        <w:shd w:val="clear" w:color="auto" w:fill="auto"/>
        <w:tabs>
          <w:tab w:val="left" w:pos="366"/>
        </w:tabs>
        <w:jc w:val="both"/>
      </w:pPr>
      <w:r>
        <w:t>МОУ «Шараповская СШ»:</w:t>
      </w:r>
    </w:p>
    <w:p w:rsidR="003B7A7A" w:rsidRDefault="00CE1D9F">
      <w:pPr>
        <w:pStyle w:val="11"/>
        <w:numPr>
          <w:ilvl w:val="0"/>
          <w:numId w:val="2"/>
        </w:numPr>
        <w:shd w:val="clear" w:color="auto" w:fill="auto"/>
        <w:tabs>
          <w:tab w:val="left" w:pos="272"/>
        </w:tabs>
        <w:spacing w:after="320"/>
        <w:jc w:val="both"/>
      </w:pPr>
      <w:r>
        <w:t xml:space="preserve">с. Шарапове, с. Выползово, с. Языково, д. Анненково, д. </w:t>
      </w:r>
      <w:r>
        <w:t>Свербино, с. Большие Печерки, с. Чапары, с. Малая Якшень, д. Малые Печерки.</w:t>
      </w:r>
    </w:p>
    <w:p w:rsidR="003B7A7A" w:rsidRDefault="00CE1D9F">
      <w:pPr>
        <w:pStyle w:val="11"/>
        <w:numPr>
          <w:ilvl w:val="0"/>
          <w:numId w:val="1"/>
        </w:numPr>
        <w:shd w:val="clear" w:color="auto" w:fill="auto"/>
        <w:tabs>
          <w:tab w:val="left" w:pos="366"/>
        </w:tabs>
        <w:jc w:val="both"/>
      </w:pPr>
      <w:r>
        <w:t>МОУ «Красноборская СШ»:</w:t>
      </w:r>
    </w:p>
    <w:p w:rsidR="003B7A7A" w:rsidRDefault="00CE1D9F">
      <w:pPr>
        <w:pStyle w:val="11"/>
        <w:shd w:val="clear" w:color="auto" w:fill="auto"/>
        <w:spacing w:after="320"/>
        <w:ind w:firstLine="180"/>
      </w:pPr>
      <w:r>
        <w:t>- с. Красный Бор, с. Пасьяново, с. Озёрки, д. Уланки.</w:t>
      </w:r>
    </w:p>
    <w:p w:rsidR="003B7A7A" w:rsidRDefault="00CE1D9F">
      <w:pPr>
        <w:pStyle w:val="11"/>
        <w:numPr>
          <w:ilvl w:val="0"/>
          <w:numId w:val="1"/>
        </w:numPr>
        <w:shd w:val="clear" w:color="auto" w:fill="auto"/>
        <w:tabs>
          <w:tab w:val="left" w:pos="366"/>
        </w:tabs>
      </w:pPr>
      <w:r>
        <w:t>МОУ «Великовражская ОШ»:</w:t>
      </w:r>
    </w:p>
    <w:p w:rsidR="003B7A7A" w:rsidRDefault="00CE1D9F">
      <w:pPr>
        <w:pStyle w:val="11"/>
        <w:numPr>
          <w:ilvl w:val="0"/>
          <w:numId w:val="2"/>
        </w:numPr>
        <w:shd w:val="clear" w:color="auto" w:fill="auto"/>
        <w:tabs>
          <w:tab w:val="left" w:pos="279"/>
        </w:tabs>
        <w:spacing w:after="320"/>
        <w:jc w:val="both"/>
      </w:pPr>
      <w:r>
        <w:t>с. Великий Враг, с. Старое Иванцево, с. Вечкусово, с. Повое Иванцево, д. Крап</w:t>
      </w:r>
      <w:r>
        <w:t>ивка, с.п. Красная Горка, д. Красные Выселки.</w:t>
      </w:r>
    </w:p>
    <w:p w:rsidR="003B7A7A" w:rsidRDefault="00CE1D9F">
      <w:pPr>
        <w:pStyle w:val="11"/>
        <w:numPr>
          <w:ilvl w:val="0"/>
          <w:numId w:val="1"/>
        </w:numPr>
        <w:shd w:val="clear" w:color="auto" w:fill="auto"/>
        <w:tabs>
          <w:tab w:val="left" w:pos="366"/>
        </w:tabs>
        <w:jc w:val="both"/>
      </w:pPr>
      <w:r>
        <w:t>МОУ «Светлогорская ОШ»:</w:t>
      </w:r>
    </w:p>
    <w:p w:rsidR="003B7A7A" w:rsidRDefault="00CE1D9F">
      <w:pPr>
        <w:pStyle w:val="11"/>
        <w:numPr>
          <w:ilvl w:val="0"/>
          <w:numId w:val="2"/>
        </w:numPr>
        <w:shd w:val="clear" w:color="auto" w:fill="auto"/>
        <w:tabs>
          <w:tab w:val="left" w:pos="276"/>
        </w:tabs>
        <w:spacing w:after="320"/>
        <w:jc w:val="both"/>
      </w:pPr>
      <w:r>
        <w:t>с.п. Светлогорск, с. Елховка, с. Хирино, с.п. Хиринские выселки, с. Тоузаково, с. Измайлово, д. Гаврилово, с.п. Знаменский, с. Наново, д. Ратманово, с. Луканово.</w:t>
      </w:r>
    </w:p>
    <w:p w:rsidR="003B7A7A" w:rsidRDefault="00CE1D9F">
      <w:pPr>
        <w:pStyle w:val="11"/>
        <w:numPr>
          <w:ilvl w:val="0"/>
          <w:numId w:val="1"/>
        </w:numPr>
        <w:shd w:val="clear" w:color="auto" w:fill="auto"/>
        <w:tabs>
          <w:tab w:val="left" w:pos="474"/>
        </w:tabs>
        <w:jc w:val="both"/>
      </w:pPr>
      <w:r>
        <w:t>МОУ «Силинская ОШ»:</w:t>
      </w:r>
    </w:p>
    <w:p w:rsidR="003B7A7A" w:rsidRDefault="00CE1D9F">
      <w:pPr>
        <w:pStyle w:val="11"/>
        <w:shd w:val="clear" w:color="auto" w:fill="auto"/>
        <w:jc w:val="both"/>
      </w:pPr>
      <w:r>
        <w:t>*- с</w:t>
      </w:r>
      <w:r>
        <w:t>. Силино, с. Повое, с. Калапино, д. Силинский Майдан, с. Михайловка, с.п. Сосновый бор.</w:t>
      </w:r>
    </w:p>
    <w:sectPr w:rsidR="003B7A7A">
      <w:type w:val="continuous"/>
      <w:pgSz w:w="11900" w:h="16840"/>
      <w:pgMar w:top="1268" w:right="766" w:bottom="1022" w:left="1972" w:header="840" w:footer="59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1D9F">
      <w:r>
        <w:separator/>
      </w:r>
    </w:p>
  </w:endnote>
  <w:endnote w:type="continuationSeparator" w:id="0">
    <w:p w:rsidR="00000000" w:rsidRDefault="00CE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A7A" w:rsidRDefault="003B7A7A"/>
  </w:footnote>
  <w:footnote w:type="continuationSeparator" w:id="0">
    <w:p w:rsidR="003B7A7A" w:rsidRDefault="003B7A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B53EB"/>
    <w:multiLevelType w:val="multilevel"/>
    <w:tmpl w:val="35BE3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8E5043"/>
    <w:multiLevelType w:val="multilevel"/>
    <w:tmpl w:val="E64A2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7A"/>
    <w:rsid w:val="003B7A7A"/>
    <w:rsid w:val="00C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48B8"/>
  <w15:docId w15:val="{BB1668A6-7284-4CE7-B0D4-4DB68EE0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8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Красноборская СШ</cp:lastModifiedBy>
  <cp:revision>2</cp:revision>
  <dcterms:created xsi:type="dcterms:W3CDTF">2021-01-29T10:12:00Z</dcterms:created>
  <dcterms:modified xsi:type="dcterms:W3CDTF">2021-01-29T10:16:00Z</dcterms:modified>
</cp:coreProperties>
</file>